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方正黑体_GBK" w:cs="Times New Roman"/>
        </w:rPr>
      </w:pPr>
      <w:r>
        <w:rPr>
          <w:rFonts w:hint="eastAsia" w:ascii="Times New Roman" w:hAnsi="Times New Roman" w:eastAsia="方正黑体_GBK" w:cs="Times New Roman"/>
        </w:rPr>
        <w:t>附件1</w:t>
      </w:r>
    </w:p>
    <w:p>
      <w:pPr>
        <w:ind w:firstLine="640"/>
        <w:rPr>
          <w:rFonts w:ascii="Times New Roman" w:hAnsi="Times New Roman" w:cs="Times New Roman"/>
        </w:rPr>
      </w:pPr>
    </w:p>
    <w:p>
      <w:pPr>
        <w:ind w:firstLine="880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材料一级分类目录</w:t>
      </w:r>
    </w:p>
    <w:bookmarkEnd w:id="0"/>
    <w:p>
      <w:pPr>
        <w:pStyle w:val="2"/>
        <w:ind w:firstLine="640"/>
        <w:rPr>
          <w:rFonts w:ascii="Times New Roman" w:hAnsi="Times New Roman" w:cs="Times New Roman"/>
        </w:rPr>
      </w:pPr>
    </w:p>
    <w:p>
      <w:pPr>
        <w:ind w:firstLine="640"/>
        <w:rPr>
          <w:rFonts w:ascii="Times New Roman" w:hAnsi="Times New Roman" w:eastAsia="方正黑体_GBK" w:cs="方正黑体_GBK"/>
        </w:rPr>
      </w:pPr>
      <w:r>
        <w:rPr>
          <w:rFonts w:hint="eastAsia" w:ascii="Times New Roman" w:hAnsi="Times New Roman" w:eastAsia="方正黑体_GBK" w:cs="方正黑体_GBK"/>
        </w:rPr>
        <w:t>编号 一级分类名称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01  黑色金属及其制品 如生铁、纯铁、钢锭、钢材及钢丝绳、钢绞线等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02  有色金属、稀有金属及其制品 如铜、铝、铅、锌及其制材、钨丝、钼丝、黄金、铂片皿、稀有金属等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03  冶金原料 如焦炭、耐火材料、砂铁、锰铁等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04  煤炭及石油产品 如煤炭、汽油、柴油、真空油脂等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05  化工产品 如硫酸、硝酸、烧碱、电木粉、离子交换树脂、轮胎及橡胶制品等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06  医药试剂及特殊原材料 如医药用品、化学试剂及稀有非金属，同位素等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07  木材及森工产品 如木材、纤维板、胶合板、软木砖等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08  建筑材料 如石油沥青、平板玻璃、油毡、石棉瓦等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09  轻工、塑料产品 如纸张、塑料制品、甘油、酒精、氯化钾等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10  机电材料 如橡皮线、塑料线、漆包线、电焊条等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11  纺织制品 如棉纺、麻纺、毛纺等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12  材料性元件 包括一次耗用的或装配其他设备用无线电元件，如电阻、电容、电子管、螺丝、轴承等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13  材料性配件 包括一次耗用的或装配其他设备用的配件如电阻片等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14  饮食品 如粮食、饲料、饮料等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15  实验用小生物 如白鼠等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16  其他</w:t>
      </w:r>
    </w:p>
    <w:p>
      <w:pPr>
        <w:ind w:firstLine="640"/>
        <w:rPr>
          <w:rFonts w:ascii="Times New Roman" w:hAnsi="Times New Roman" w:eastAsia="方正黑体_GBK" w:cs="方正黑体_GBK"/>
        </w:rPr>
      </w:pPr>
      <w:r>
        <w:rPr>
          <w:rFonts w:hint="eastAsia" w:ascii="Times New Roman" w:hAnsi="Times New Roman" w:eastAsia="方正黑体_GBK" w:cs="方正黑体_GBK"/>
        </w:rPr>
        <w:t>低值易耗品一级分类目类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编号 一级分类名称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01  低值仪器仪表及元、配件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02  低值机电产品 凡不属固定资产和材料范围的机电产品及元、配件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03  医疗器械 包括校区校用的医疗器械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04  文娱体育用品 如铅球、哑铃、棋类及低值乐器等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05  标本模型 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06  工具 包括量、卡、工、刀具等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07  玻璃仪器及器皿 包括各类石英烧杯、坩埚等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08  行政事务办公用品 文具用品、算盘、台灯、玻璃板等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09  劳保用品 包括不属固定资产的被服装具等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10  其它无法归入上述各类的低值易耗品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jY3YzQ3MWM2N2JiZDc4ODExZDI1ZGMwMGQyNzUifQ=="/>
  </w:docVars>
  <w:rsids>
    <w:rsidRoot w:val="19222831"/>
    <w:rsid w:val="192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32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before="100" w:beforeAutospacing="1" w:after="120" w:line="600" w:lineRule="exact"/>
      <w:ind w:firstLine="632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2023-04-11T01:50:00Z</dcterms:created>
  <dc:creator>Skyler</dc:creator>
  <cp:lastModifiedBy>Skyler</cp:lastModifiedBy>
  <dcterms:modified xsi:type="dcterms:W3CDTF">2023-04-11T01:50:32Z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F2AFFCFC3BC64AA7ACFF12A5124800DE_11</vt:lpwstr>
  </property>
</Properties>
</file>